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1144282</wp:posOffset>
            </wp:positionH>
            <wp:positionV relativeFrom="page">
              <wp:posOffset>0</wp:posOffset>
            </wp:positionV>
            <wp:extent cx="2947645" cy="17140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0"/>
                <wp:lineTo x="0" y="2162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45" cy="1714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>Le trio avec piano Boarte</w:t>
      </w:r>
      <w:r>
        <w:rPr>
          <w:rtl w:val="0"/>
        </w:rPr>
        <w:t xml:space="preserve">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trois remarquables musiciens polonais. Le pianiste Konrad Skolarski, le violoniste Jaroslaw Nadrzycki et le violoncelliste Karol Marianowski sont tous trois des artistes accomplis et reconnus puisqu</w:t>
      </w:r>
      <w:r>
        <w:rPr>
          <w:rtl w:val="1"/>
        </w:rPr>
        <w:t>’</w:t>
      </w:r>
      <w:r>
        <w:rPr>
          <w:rtl w:val="0"/>
          <w:lang w:val="fr-FR"/>
        </w:rPr>
        <w:t>ils sont laur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ats de maintes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titions internationales et qu</w:t>
      </w:r>
      <w:r>
        <w:rPr>
          <w:rtl w:val="1"/>
        </w:rPr>
        <w:t>’</w:t>
      </w:r>
      <w:r>
        <w:rPr>
          <w:rtl w:val="0"/>
          <w:lang w:val="fr-FR"/>
        </w:rPr>
        <w:t xml:space="preserve">ils ont </w:t>
      </w:r>
      <w:r>
        <w:rPr>
          <w:rtl w:val="0"/>
        </w:rPr>
        <w:t xml:space="preserve">à </w:t>
      </w:r>
      <w:r>
        <w:rPr>
          <w:rtl w:val="0"/>
          <w:lang w:val="fr-FR"/>
        </w:rPr>
        <w:t>leur actif une longue liste d</w:t>
      </w:r>
      <w:r>
        <w:rPr>
          <w:rtl w:val="1"/>
        </w:rPr>
        <w:t>’</w:t>
      </w:r>
      <w:r>
        <w:rPr>
          <w:rtl w:val="0"/>
          <w:lang w:val="fr-FR"/>
        </w:rPr>
        <w:t>engagements partout en Europe, en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du Nord et du Sud de m</w:t>
      </w:r>
      <w:r>
        <w:rPr>
          <w:rtl w:val="0"/>
        </w:rPr>
        <w:t>ê</w:t>
      </w:r>
      <w:r>
        <w:rPr>
          <w:rtl w:val="0"/>
          <w:lang w:val="fr-FR"/>
        </w:rPr>
        <w:t>me qu</w:t>
      </w:r>
      <w:r>
        <w:rPr>
          <w:rtl w:val="1"/>
        </w:rPr>
        <w:t>’</w:t>
      </w:r>
      <w:r>
        <w:rPr>
          <w:rtl w:val="0"/>
          <w:lang w:val="fr-FR"/>
        </w:rPr>
        <w:t xml:space="preserve">en Asie. Tout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fois solistes et musiciens de chambre (notamment au quatuor Meccore), ils ont su se produire au Wigmore Hall,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 xml:space="preserve">Auditorio Nacional de Musica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Madrid, au Menuhin Hall et au Cadogan Hall de Londres, au Musikverein de Vienne, au BOZAR de Bruxelles,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salle de la Collection Frick </w:t>
      </w:r>
      <w:r>
        <w:rPr>
          <w:rtl w:val="0"/>
        </w:rPr>
        <w:t xml:space="preserve">à </w:t>
      </w:r>
      <w:r>
        <w:rPr>
          <w:rtl w:val="0"/>
          <w:lang w:val="en-US"/>
        </w:rPr>
        <w:t xml:space="preserve">New York,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salle de la Philharmonie de Varsovie, </w:t>
      </w:r>
      <w:r>
        <w:rPr>
          <w:rtl w:val="0"/>
        </w:rPr>
        <w:t xml:space="preserve">à </w:t>
      </w:r>
      <w:r>
        <w:rPr>
          <w:rtl w:val="0"/>
          <w:lang w:val="fr-FR"/>
        </w:rPr>
        <w:t>la grande salle du Conservatoire de Moscou, de m</w:t>
      </w:r>
      <w:r>
        <w:rPr>
          <w:rtl w:val="0"/>
        </w:rPr>
        <w:t>ê</w:t>
      </w:r>
      <w:r>
        <w:rPr>
          <w:rtl w:val="0"/>
          <w:lang w:val="fr-FR"/>
        </w:rPr>
        <w:t>me 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la salle Aram Khachaturian d</w:t>
      </w:r>
      <w:r>
        <w:rPr>
          <w:rtl w:val="0"/>
          <w:lang w:val="fr-FR"/>
        </w:rPr>
        <w:t>’É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van sans oublier l</w:t>
      </w:r>
      <w:r>
        <w:rPr>
          <w:rtl w:val="1"/>
        </w:rPr>
        <w:t>’</w:t>
      </w:r>
      <w:r>
        <w:rPr>
          <w:rtl w:val="0"/>
          <w:lang w:val="en-US"/>
        </w:rPr>
        <w:t>Ath</w:t>
      </w:r>
      <w:r>
        <w:rPr>
          <w:rtl w:val="0"/>
          <w:lang w:val="fr-FR"/>
        </w:rPr>
        <w:t>é</w:t>
      </w:r>
      <w:r>
        <w:rPr>
          <w:rtl w:val="0"/>
        </w:rPr>
        <w:t>neum de Bucarest.</w:t>
      </w:r>
    </w:p>
    <w:p>
      <w:pPr>
        <w:pStyle w:val="Normal.0"/>
        <w:jc w:val="both"/>
      </w:pPr>
      <w:r>
        <w:rPr>
          <w:rtl w:val="0"/>
          <w:lang w:val="fr-FR"/>
        </w:rPr>
        <w:t>Au fil de leur carri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re, ils ont coop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troitement avec les grandes personnalit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musicales du monde de la musique de chambre tels Alfred Brendel, G</w:t>
      </w:r>
      <w:r>
        <w:rPr>
          <w:rtl w:val="0"/>
        </w:rPr>
        <w:t>ü</w:t>
      </w:r>
      <w:r>
        <w:rPr>
          <w:rtl w:val="0"/>
          <w:lang w:val="de-DE"/>
        </w:rPr>
        <w:t>nter Pichler, Gerhardt Schulz, Valentin Erben, Heime M</w:t>
      </w:r>
      <w:r>
        <w:rPr>
          <w:rtl w:val="0"/>
        </w:rPr>
        <w:t>ü</w:t>
      </w:r>
      <w:r>
        <w:rPr>
          <w:rtl w:val="0"/>
          <w:lang w:val="fr-FR"/>
        </w:rPr>
        <w:t>ller, Pavel Gililov ainsi qu</w:t>
      </w:r>
      <w:r>
        <w:rPr>
          <w:rtl w:val="1"/>
        </w:rPr>
        <w:t>’</w:t>
      </w:r>
      <w:r>
        <w:rPr>
          <w:rtl w:val="0"/>
          <w:lang w:val="fr-FR"/>
        </w:rPr>
        <w:t>avec le quatuor Artemis.</w:t>
      </w:r>
      <w:r>
        <w:rPr>
          <w:rtl w:val="0"/>
        </w:rPr>
        <w:t xml:space="preserve">  </w:t>
      </w:r>
      <w:r>
        <w:rPr>
          <w:rtl w:val="0"/>
          <w:lang w:val="fr-FR"/>
        </w:rPr>
        <w:t>En tant que solistes de leur instrument respectif, ils ont jou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sous la direction de chefs illustres tels Krzysztof Penderecki, Mikhail Jurowski, JoAnn Fallett, </w:t>
      </w:r>
      <w:r>
        <w:rPr>
          <w:rtl w:val="0"/>
        </w:rPr>
        <w:t>Ł</w:t>
      </w:r>
      <w:r>
        <w:rPr>
          <w:rtl w:val="0"/>
        </w:rPr>
        <w:t>ukasz Borowicz, Valery Giergiev, Maxim Vengerov, Kristjan J</w:t>
      </w:r>
      <w:r>
        <w:rPr>
          <w:rtl w:val="0"/>
        </w:rPr>
        <w:t>ä</w:t>
      </w:r>
      <w:r>
        <w:rPr>
          <w:rtl w:val="0"/>
          <w:lang w:val="it-IT"/>
        </w:rPr>
        <w:t>rvi, Giancarlo Guerrero, Sergey Smbatyan, Massimiliano Caldi et Paul Goodwin.</w:t>
      </w:r>
    </w:p>
    <w:p>
      <w:pPr>
        <w:pStyle w:val="Normal.0"/>
        <w:jc w:val="both"/>
      </w:pPr>
      <w:r>
        <w:rPr>
          <w:rtl w:val="0"/>
          <w:lang w:val="fr-FR"/>
        </w:rPr>
        <w:t>Les membres du Trio Boarte sont laur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ats de nombreux concours internationaux prestigieux. Ils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re</w:t>
      </w:r>
      <w:r>
        <w:rPr>
          <w:rtl w:val="0"/>
        </w:rPr>
        <w:t>ç</w:t>
      </w:r>
      <w:r>
        <w:rPr>
          <w:rtl w:val="0"/>
          <w:lang w:val="fr-FR"/>
        </w:rPr>
        <w:t>u plusieurs prix pour leurs enregistrements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dents, y compris le Prix Supersonic du magazine allemand Pizzicato, cinq diapasons d</w:t>
      </w:r>
      <w:r>
        <w:rPr>
          <w:rtl w:val="1"/>
        </w:rPr>
        <w:t>’</w:t>
      </w:r>
      <w:r>
        <w:rPr>
          <w:rtl w:val="0"/>
          <w:lang w:val="fr-FR"/>
        </w:rPr>
        <w:t>or du magazine Diapason ainsi que plusieurs mises en nomination pour le prix Fryderyk. Les</w:t>
      </w:r>
      <w:r>
        <w:rPr>
          <w:rtl w:val="0"/>
        </w:rPr>
        <w:t xml:space="preserve">  </w:t>
      </w:r>
      <w:r>
        <w:rPr>
          <w:rtl w:val="0"/>
          <w:lang w:val="fr-FR"/>
        </w:rPr>
        <w:t>musiciens du Trio Boarte ont jou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des orchestres de premier plan notamment l</w:t>
      </w:r>
      <w:r>
        <w:rPr>
          <w:rtl w:val="1"/>
        </w:rPr>
        <w:t>’</w:t>
      </w:r>
      <w:r>
        <w:rPr>
          <w:rtl w:val="0"/>
          <w:lang w:val="fr-FR"/>
        </w:rPr>
        <w:t>Orchestre Philharmonique de Londres,</w:t>
      </w:r>
      <w:r>
        <w:rPr>
          <w:rtl w:val="0"/>
        </w:rPr>
        <w:t xml:space="preserve">  </w:t>
      </w:r>
      <w:r>
        <w:rPr>
          <w:rtl w:val="0"/>
          <w:lang w:val="fr-FR"/>
        </w:rPr>
        <w:t>le Royal Philharmonic, le MDR Sinfonieorchester et l</w:t>
      </w:r>
      <w:r>
        <w:rPr>
          <w:rtl w:val="1"/>
        </w:rPr>
        <w:t>’</w:t>
      </w:r>
      <w:r>
        <w:rPr>
          <w:rtl w:val="0"/>
          <w:lang w:val="it-IT"/>
        </w:rPr>
        <w:t>Orchestre Sim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n Bolivar du Venezuela.</w:t>
      </w:r>
      <w:r>
        <w:rPr>
          <w:rtl w:val="0"/>
        </w:rPr>
        <w:t> </w:t>
      </w:r>
    </w:p>
    <w:p>
      <w:pPr>
        <w:pStyle w:val="Normal.0"/>
        <w:jc w:val="both"/>
      </w:pPr>
      <w:r>
        <w:rPr>
          <w:rtl w:val="0"/>
          <w:lang w:val="fr-FR"/>
        </w:rPr>
        <w:t xml:space="preserve">Les trois artistes ont </w:t>
      </w:r>
      <w:r>
        <w:rPr>
          <w:rtl w:val="0"/>
          <w:lang w:val="fr-FR"/>
        </w:rPr>
        <w:t>é</w:t>
      </w:r>
      <w:r>
        <w:rPr>
          <w:rtl w:val="0"/>
        </w:rPr>
        <w:t>tudi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les meilleures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coles d</w:t>
      </w:r>
      <w:r>
        <w:rPr>
          <w:rtl w:val="1"/>
        </w:rPr>
        <w:t>’</w:t>
      </w:r>
      <w:r>
        <w:rPr>
          <w:rtl w:val="0"/>
          <w:lang w:val="fr-FR"/>
        </w:rPr>
        <w:t>Europe et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rique notamment le Hochschule f</w:t>
      </w:r>
      <w:r>
        <w:rPr>
          <w:rtl w:val="0"/>
        </w:rPr>
        <w:t>ü</w:t>
      </w:r>
      <w:r>
        <w:rPr>
          <w:rtl w:val="0"/>
          <w:lang w:val="da-DK"/>
        </w:rPr>
        <w:t>r Musik</w:t>
      </w:r>
      <w:r>
        <w:rPr>
          <w:rtl w:val="0"/>
        </w:rPr>
        <w:t xml:space="preserve">  </w:t>
      </w:r>
      <w:r>
        <w:rPr>
          <w:rtl w:val="0"/>
          <w:lang w:val="en-US"/>
        </w:rPr>
        <w:t>de Cologne, le Boston Conservatory,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Fryderyk Chopin pour la musique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Varsovie et tout autant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>Acad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mie de musique Ignace Jan Paderewski </w:t>
      </w:r>
      <w:r>
        <w:rPr>
          <w:rtl w:val="0"/>
        </w:rPr>
        <w:t xml:space="preserve">à </w:t>
      </w:r>
      <w:r>
        <w:rPr>
          <w:rtl w:val="0"/>
        </w:rPr>
        <w:t>Poznan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ils poursuivent 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fr-FR"/>
        </w:rPr>
        <w:t>ordre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nouvelles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rations de musiciens.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